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272F56">
        <w:rPr>
          <w:b/>
          <w:sz w:val="36"/>
        </w:rPr>
        <w:t xml:space="preserve"> ONE</w:t>
      </w:r>
    </w:p>
    <w:p w:rsidR="00BC6268" w:rsidRDefault="001F6C93" w:rsidP="001F6C93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</w:t>
      </w:r>
      <w:r w:rsidR="00272F56">
        <w:rPr>
          <w:b/>
          <w:sz w:val="36"/>
        </w:rPr>
        <w:t xml:space="preserve"> THREE</w:t>
      </w: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272F56">
              <w:rPr>
                <w:b/>
                <w:color w:val="FFFFFF" w:themeColor="background1"/>
                <w:spacing w:val="20"/>
                <w:sz w:val="22"/>
              </w:rPr>
              <w:t>I can understand some information from media.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272F56">
              <w:rPr>
                <w:b/>
                <w:spacing w:val="20"/>
                <w:sz w:val="22"/>
              </w:rPr>
              <w:t>I can understand and follow a recipe I see on YouTube.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283337</wp:posOffset>
                      </wp:positionV>
                      <wp:extent cx="314325" cy="4849749"/>
                      <wp:effectExtent l="19050" t="0" r="28575" b="4635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849749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424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2.75pt;margin-top:22.3pt;width:24.75pt;height:3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" adj="20803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5D2" w:rsidRPr="001F6C93" w:rsidRDefault="00F506C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understand and follow recipe instructions.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F02CEA" w:rsidRPr="001F6C93" w:rsidRDefault="00F506C6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informal commands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44FA3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units of measurement</w:t>
            </w:r>
          </w:p>
          <w:p w:rsidR="00F506C6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pertinent ingredients</w:t>
            </w:r>
          </w:p>
          <w:p w:rsidR="00F506C6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cut</w:t>
            </w:r>
          </w:p>
          <w:p w:rsidR="00F506C6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mix</w:t>
            </w:r>
          </w:p>
          <w:p w:rsidR="00F506C6" w:rsidRPr="001F6C93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add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1F6C93" w:rsidRDefault="00F506C6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submit a short food tutorial video for teacher assessment.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8970BE">
        <w:trPr>
          <w:trHeight w:val="122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71C3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Teacher will display two pictures.  One of a meal at a restaurant, the second of someone preparing a meal at home.  Students will briefly discuss in small groups which of the two is the healthier choice and why.</w:t>
            </w:r>
          </w:p>
          <w:p w:rsidR="00F506C6" w:rsidRDefault="00F506C6" w:rsidP="00262E8F">
            <w:pPr>
              <w:pStyle w:val="BodyText"/>
              <w:rPr>
                <w:sz w:val="20"/>
              </w:rPr>
            </w:pPr>
          </w:p>
          <w:p w:rsidR="00F506C6" w:rsidRPr="00F506C6" w:rsidRDefault="00F506C6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Teacher will model and then unpack necessary vocabulary (ingredients, to contain, etc.)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8970BE">
        <w:trPr>
          <w:trHeight w:val="1467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C3" w:rsidRDefault="00F506C6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Show 2 or 3 30 second YouTube </w:t>
            </w:r>
            <w:r w:rsidR="008970BE">
              <w:rPr>
                <w:sz w:val="20"/>
              </w:rPr>
              <w:t xml:space="preserve">cooking </w:t>
            </w:r>
            <w:r>
              <w:rPr>
                <w:sz w:val="20"/>
              </w:rPr>
              <w:t xml:space="preserve">video clips.  </w:t>
            </w:r>
            <w:r w:rsidR="008970BE">
              <w:rPr>
                <w:sz w:val="20"/>
              </w:rPr>
              <w:t xml:space="preserve">The videos should be muted unless the teacher can locate one in the target language.  The clips should contain recipes being created for American foods only.  </w:t>
            </w:r>
          </w:p>
          <w:p w:rsidR="008970BE" w:rsidRDefault="008970BE" w:rsidP="00F02CEA">
            <w:pPr>
              <w:pStyle w:val="BodyText"/>
              <w:rPr>
                <w:sz w:val="20"/>
              </w:rPr>
            </w:pPr>
          </w:p>
          <w:p w:rsidR="008970BE" w:rsidRPr="00F506C6" w:rsidRDefault="008970BE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determine 1) what food is being made 2) explain why they decided that was the food being prepared 3) discuss if the food is healthy with supporting details.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970BE" w:rsidRDefault="008970BE" w:rsidP="00844FA3">
            <w:pPr>
              <w:pStyle w:val="BodyText"/>
              <w:rPr>
                <w:sz w:val="20"/>
              </w:rPr>
            </w:pPr>
          </w:p>
          <w:p w:rsidR="00A72CF7" w:rsidRDefault="008970BE">
            <w:pPr>
              <w:pStyle w:val="BodyText"/>
            </w:pPr>
            <w:r>
              <w:rPr>
                <w:sz w:val="20"/>
              </w:rPr>
              <w:t>In groups, students will make a short “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 xml:space="preserve">” food tutorial video in their target language using a smartphone (or if you have access to </w:t>
            </w:r>
            <w:proofErr w:type="spellStart"/>
            <w:r>
              <w:rPr>
                <w:sz w:val="20"/>
              </w:rPr>
              <w:t>ipads</w:t>
            </w:r>
            <w:proofErr w:type="spellEnd"/>
            <w:r>
              <w:rPr>
                <w:sz w:val="20"/>
              </w:rPr>
              <w:t>, or be creative with what’s available at your location).  Teacher will provide props or give time for students to create their own props to use.</w:t>
            </w:r>
          </w:p>
          <w:p w:rsidR="00A72CF7" w:rsidRPr="008E2F23" w:rsidRDefault="00A72CF7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8E2F2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F506C6">
              <w:rPr>
                <w:b/>
                <w:sz w:val="20"/>
              </w:rPr>
              <w:t xml:space="preserve">:  </w:t>
            </w:r>
            <w:r w:rsidR="00010A52">
              <w:rPr>
                <w:b/>
                <w:sz w:val="20"/>
              </w:rPr>
              <w:t>Quick thumbs up or down.  Ask the students if they understand what they watched.  The students will give a thumbs up for yes, down for no, or sideways for “more or less.”</w:t>
            </w:r>
            <w:bookmarkStart w:id="0" w:name="_GoBack"/>
            <w:bookmarkEnd w:id="0"/>
          </w:p>
          <w:p w:rsidR="008E2F23" w:rsidRDefault="008E2F23" w:rsidP="00EC0756">
            <w:pPr>
              <w:pStyle w:val="BodyText"/>
              <w:rPr>
                <w:b/>
                <w:sz w:val="20"/>
              </w:rPr>
            </w:pP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10A52"/>
    <w:rsid w:val="000402BA"/>
    <w:rsid w:val="00137721"/>
    <w:rsid w:val="00147BB8"/>
    <w:rsid w:val="00157A43"/>
    <w:rsid w:val="00184D6B"/>
    <w:rsid w:val="001F5702"/>
    <w:rsid w:val="001F6C93"/>
    <w:rsid w:val="00232225"/>
    <w:rsid w:val="00262E8F"/>
    <w:rsid w:val="00272F56"/>
    <w:rsid w:val="002777C6"/>
    <w:rsid w:val="00295FCE"/>
    <w:rsid w:val="002E2E15"/>
    <w:rsid w:val="00316A0A"/>
    <w:rsid w:val="00420C80"/>
    <w:rsid w:val="00440893"/>
    <w:rsid w:val="004471C3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8071F3"/>
    <w:rsid w:val="00840502"/>
    <w:rsid w:val="00844FA3"/>
    <w:rsid w:val="0086579B"/>
    <w:rsid w:val="00887F5E"/>
    <w:rsid w:val="008970BE"/>
    <w:rsid w:val="008B2930"/>
    <w:rsid w:val="008E2F23"/>
    <w:rsid w:val="008E6B21"/>
    <w:rsid w:val="009F5161"/>
    <w:rsid w:val="00A55F0C"/>
    <w:rsid w:val="00A72CF7"/>
    <w:rsid w:val="00A93DE6"/>
    <w:rsid w:val="00AF1779"/>
    <w:rsid w:val="00B675A9"/>
    <w:rsid w:val="00BC2D3E"/>
    <w:rsid w:val="00BC6268"/>
    <w:rsid w:val="00C033B8"/>
    <w:rsid w:val="00C378A1"/>
    <w:rsid w:val="00CA7454"/>
    <w:rsid w:val="00D005D2"/>
    <w:rsid w:val="00DA30C3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506C6"/>
    <w:rsid w:val="00F7764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2CCC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4</cp:revision>
  <cp:lastPrinted>2017-06-30T16:06:00Z</cp:lastPrinted>
  <dcterms:created xsi:type="dcterms:W3CDTF">2017-07-11T15:32:00Z</dcterms:created>
  <dcterms:modified xsi:type="dcterms:W3CDTF">2017-07-11T19:30:00Z</dcterms:modified>
</cp:coreProperties>
</file>