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w:t>
      </w:r>
      <w:r w:rsidR="005936E8">
        <w:rPr>
          <w:b/>
          <w:sz w:val="36"/>
        </w:rPr>
        <w:t>THREE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D86BFF">
        <w:rPr>
          <w:b/>
          <w:sz w:val="36"/>
        </w:rPr>
        <w:t>SIX</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E227C0">
              <w:rPr>
                <w:b/>
                <w:color w:val="FFFFFF" w:themeColor="background1"/>
                <w:spacing w:val="20"/>
                <w:sz w:val="22"/>
              </w:rPr>
              <w:t xml:space="preserve">I can </w:t>
            </w:r>
            <w:r w:rsidR="003A0BD9">
              <w:rPr>
                <w:b/>
                <w:color w:val="FFFFFF" w:themeColor="background1"/>
                <w:spacing w:val="20"/>
                <w:sz w:val="22"/>
              </w:rPr>
              <w:t>interact with others in everyday situations.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45783B">
              <w:rPr>
                <w:b/>
                <w:spacing w:val="20"/>
                <w:sz w:val="22"/>
              </w:rPr>
              <w:t xml:space="preserve">I can </w:t>
            </w:r>
            <w:r w:rsidR="00EC551A">
              <w:rPr>
                <w:b/>
                <w:spacing w:val="20"/>
                <w:sz w:val="22"/>
              </w:rPr>
              <w:t xml:space="preserve">talk about </w:t>
            </w:r>
            <w:r w:rsidR="00D16570">
              <w:rPr>
                <w:b/>
                <w:spacing w:val="20"/>
                <w:sz w:val="22"/>
              </w:rPr>
              <w:t>the</w:t>
            </w:r>
            <w:r w:rsidR="00EC551A">
              <w:rPr>
                <w:b/>
                <w:spacing w:val="20"/>
                <w:sz w:val="22"/>
              </w:rPr>
              <w:t xml:space="preserve"> style</w:t>
            </w:r>
            <w:r w:rsidR="00D16570">
              <w:rPr>
                <w:b/>
                <w:spacing w:val="20"/>
                <w:sz w:val="22"/>
              </w:rPr>
              <w:t xml:space="preserve"> in a target language country</w:t>
            </w:r>
            <w:r w:rsidR="00EC551A">
              <w:rPr>
                <w:b/>
                <w:spacing w:val="20"/>
                <w:sz w:val="22"/>
              </w:rPr>
              <w:t xml:space="preserve">, including what </w:t>
            </w:r>
            <w:r w:rsidR="00D16570">
              <w:rPr>
                <w:b/>
                <w:spacing w:val="20"/>
                <w:sz w:val="22"/>
              </w:rPr>
              <w:t>they</w:t>
            </w:r>
            <w:r w:rsidR="00EC551A">
              <w:rPr>
                <w:b/>
                <w:spacing w:val="20"/>
                <w:sz w:val="22"/>
              </w:rPr>
              <w:t xml:space="preserve"> to wear, where </w:t>
            </w:r>
            <w:r w:rsidR="00D16570">
              <w:rPr>
                <w:b/>
                <w:spacing w:val="20"/>
                <w:sz w:val="22"/>
              </w:rPr>
              <w:t>they like</w:t>
            </w:r>
            <w:r w:rsidR="00EC551A">
              <w:rPr>
                <w:b/>
                <w:spacing w:val="20"/>
                <w:sz w:val="22"/>
              </w:rPr>
              <w:t xml:space="preserve"> to shop and why </w:t>
            </w:r>
            <w:r w:rsidR="00D16570">
              <w:rPr>
                <w:b/>
                <w:spacing w:val="20"/>
                <w:sz w:val="22"/>
              </w:rPr>
              <w:t>those</w:t>
            </w:r>
            <w:r w:rsidR="00EC551A">
              <w:rPr>
                <w:b/>
                <w:spacing w:val="20"/>
                <w:sz w:val="22"/>
              </w:rPr>
              <w:t xml:space="preserve"> choices reflect </w:t>
            </w:r>
            <w:r w:rsidR="00D16570">
              <w:rPr>
                <w:b/>
                <w:spacing w:val="20"/>
                <w:sz w:val="22"/>
              </w:rPr>
              <w:t>their</w:t>
            </w:r>
            <w:r w:rsidR="00EC551A">
              <w:rPr>
                <w:b/>
                <w:spacing w:val="20"/>
                <w:sz w:val="22"/>
              </w:rPr>
              <w:t xml:space="preserve"> personality.</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E227C0" w:rsidRPr="00B205F5" w:rsidRDefault="003A0BD9" w:rsidP="00E227C0">
            <w:pPr>
              <w:pStyle w:val="BodyText"/>
              <w:rPr>
                <w:sz w:val="20"/>
              </w:rPr>
            </w:pPr>
            <w:r>
              <w:rPr>
                <w:sz w:val="20"/>
              </w:rPr>
              <w:t xml:space="preserve">I can talk about what </w:t>
            </w:r>
            <w:r w:rsidR="00D16570">
              <w:rPr>
                <w:sz w:val="20"/>
              </w:rPr>
              <w:t>a teenager in the target language country likes</w:t>
            </w:r>
            <w:r>
              <w:rPr>
                <w:sz w:val="20"/>
              </w:rPr>
              <w:t xml:space="preserve"> to wear and where </w:t>
            </w:r>
            <w:r w:rsidR="00D16570">
              <w:rPr>
                <w:sz w:val="20"/>
              </w:rPr>
              <w:t>they like</w:t>
            </w:r>
            <w:r>
              <w:rPr>
                <w:sz w:val="20"/>
              </w:rPr>
              <w:t xml:space="preserve"> to shop.</w:t>
            </w:r>
          </w:p>
        </w:tc>
        <w:tc>
          <w:tcPr>
            <w:tcW w:w="1919" w:type="dxa"/>
            <w:tcBorders>
              <w:top w:val="single" w:sz="18" w:space="0" w:color="auto"/>
              <w:left w:val="single" w:sz="18" w:space="0" w:color="auto"/>
              <w:bottom w:val="single" w:sz="12" w:space="0" w:color="auto"/>
              <w:right w:val="single" w:sz="2" w:space="0" w:color="auto"/>
            </w:tcBorders>
          </w:tcPr>
          <w:p w:rsidR="003A0BD9" w:rsidRDefault="003A0BD9" w:rsidP="002A4A1A">
            <w:pPr>
              <w:pStyle w:val="BodyText"/>
            </w:pPr>
            <w:r>
              <w:t xml:space="preserve">What is he/she wearing? </w:t>
            </w:r>
          </w:p>
          <w:p w:rsidR="003A0BD9" w:rsidRDefault="003A0BD9" w:rsidP="002A4A1A">
            <w:pPr>
              <w:pStyle w:val="BodyText"/>
            </w:pPr>
            <w:r>
              <w:t xml:space="preserve">He is wearing… </w:t>
            </w:r>
          </w:p>
          <w:p w:rsidR="00E227C0" w:rsidRDefault="003A0BD9" w:rsidP="002A4A1A">
            <w:pPr>
              <w:pStyle w:val="BodyText"/>
            </w:pPr>
            <w:r>
              <w:t>She is wearing…</w:t>
            </w:r>
          </w:p>
          <w:p w:rsidR="003A0BD9" w:rsidRPr="00B205F5" w:rsidRDefault="003A0BD9" w:rsidP="002A4A1A">
            <w:pPr>
              <w:pStyle w:val="BodyText"/>
              <w:rPr>
                <w:sz w:val="20"/>
              </w:rPr>
            </w:pPr>
            <w:r>
              <w:t>I am wearing…</w:t>
            </w:r>
          </w:p>
        </w:tc>
        <w:tc>
          <w:tcPr>
            <w:tcW w:w="1620" w:type="dxa"/>
            <w:tcBorders>
              <w:top w:val="single" w:sz="18" w:space="0" w:color="auto"/>
              <w:left w:val="single" w:sz="2" w:space="0" w:color="auto"/>
              <w:bottom w:val="single" w:sz="12" w:space="0" w:color="auto"/>
              <w:right w:val="single" w:sz="18" w:space="0" w:color="auto"/>
            </w:tcBorders>
          </w:tcPr>
          <w:p w:rsidR="003A0BD9" w:rsidRDefault="003A0BD9" w:rsidP="00EC551A">
            <w:pPr>
              <w:pStyle w:val="BodyText"/>
            </w:pPr>
            <w:r>
              <w:t xml:space="preserve">Clothing </w:t>
            </w:r>
          </w:p>
          <w:p w:rsidR="003A0BD9" w:rsidRDefault="003A0BD9" w:rsidP="00EC551A">
            <w:pPr>
              <w:pStyle w:val="BodyText"/>
            </w:pPr>
            <w:r>
              <w:t xml:space="preserve">Colors </w:t>
            </w:r>
          </w:p>
          <w:p w:rsidR="00E227C0" w:rsidRDefault="003A0BD9" w:rsidP="00EC551A">
            <w:pPr>
              <w:pStyle w:val="BodyText"/>
            </w:pPr>
            <w:r>
              <w:t>Descriptors</w:t>
            </w:r>
          </w:p>
          <w:p w:rsidR="003A0BD9" w:rsidRDefault="003A0BD9" w:rsidP="00EC551A">
            <w:pPr>
              <w:pStyle w:val="BodyText"/>
            </w:pPr>
            <w:r>
              <w:t xml:space="preserve">Cute </w:t>
            </w:r>
          </w:p>
          <w:p w:rsidR="003A0BD9" w:rsidRDefault="003A0BD9" w:rsidP="00EC551A">
            <w:pPr>
              <w:pStyle w:val="BodyText"/>
            </w:pPr>
            <w:r>
              <w:t xml:space="preserve">Ugly </w:t>
            </w:r>
          </w:p>
          <w:p w:rsidR="003A0BD9" w:rsidRDefault="003A0BD9" w:rsidP="00EC551A">
            <w:pPr>
              <w:pStyle w:val="BodyText"/>
            </w:pPr>
            <w:r>
              <w:t>Stylish</w:t>
            </w:r>
          </w:p>
          <w:p w:rsidR="003A0BD9" w:rsidRPr="00B205F5" w:rsidRDefault="003A0BD9" w:rsidP="00EC551A">
            <w:pPr>
              <w:pStyle w:val="BodyText"/>
              <w:rPr>
                <w:sz w:val="20"/>
              </w:rPr>
            </w:pPr>
            <w:r>
              <w:t>To buy</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D16570" w:rsidP="00844FA3">
            <w:pPr>
              <w:pStyle w:val="BodyText"/>
              <w:rPr>
                <w:sz w:val="20"/>
              </w:rPr>
            </w:pPr>
            <w:r>
              <w:rPr>
                <w:sz w:val="20"/>
              </w:rPr>
              <w:t>Students will create a drawing of what a teenager from the target language country typically wears and will submit to the teacher for review.</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E227C0">
        <w:trPr>
          <w:trHeight w:val="1158"/>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3476D5" w:rsidRPr="00B205F5" w:rsidRDefault="004B4C0F" w:rsidP="00262E8F">
            <w:pPr>
              <w:pStyle w:val="BodyText"/>
              <w:rPr>
                <w:sz w:val="20"/>
              </w:rPr>
            </w:pPr>
            <w:r>
              <w:rPr>
                <w:sz w:val="20"/>
              </w:rPr>
              <w:t>The teacher will show pictures of teenagers from the target language country.  The teacher will explain what the teens are wearing in the pictures.  After modeling this with a picture, the teacher will have the students do the same with the same picture, being sure to also add their opinion about the clothing that’s worn.</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45783B">
        <w:trPr>
          <w:trHeight w:val="152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B4C0F" w:rsidRPr="004B4C0F" w:rsidRDefault="004B4C0F" w:rsidP="00F02CEA">
            <w:pPr>
              <w:pStyle w:val="BodyText"/>
              <w:rPr>
                <w:sz w:val="20"/>
                <w:szCs w:val="20"/>
              </w:rPr>
            </w:pPr>
            <w:r w:rsidRPr="004B4C0F">
              <w:rPr>
                <w:sz w:val="20"/>
                <w:szCs w:val="20"/>
              </w:rPr>
              <w:t>The teacher will show a clip (YouTube is a good resource here) of what standard clothing stores and markets look like in the target language country.  The teacher should discuss with the class what the culture is like to shop in</w:t>
            </w:r>
            <w:r>
              <w:rPr>
                <w:sz w:val="20"/>
                <w:szCs w:val="20"/>
              </w:rPr>
              <w:t>,</w:t>
            </w:r>
            <w:r w:rsidRPr="004B4C0F">
              <w:rPr>
                <w:sz w:val="20"/>
                <w:szCs w:val="20"/>
              </w:rPr>
              <w:t xml:space="preserve"> and how teens there dress.  </w:t>
            </w:r>
            <w:bookmarkStart w:id="0" w:name="_GoBack"/>
            <w:bookmarkEnd w:id="0"/>
          </w:p>
          <w:p w:rsidR="004B4C0F" w:rsidRDefault="004B4C0F" w:rsidP="00F02CEA">
            <w:pPr>
              <w:pStyle w:val="BodyText"/>
              <w:rPr>
                <w:szCs w:val="20"/>
              </w:rPr>
            </w:pPr>
          </w:p>
          <w:p w:rsidR="00E227C0" w:rsidRPr="004B4C0F" w:rsidRDefault="00E227C0" w:rsidP="00F02CEA">
            <w:pPr>
              <w:pStyle w:val="BodyText"/>
              <w:rPr>
                <w:szCs w:val="20"/>
              </w:rPr>
            </w:pP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4B4C0F">
        <w:trPr>
          <w:trHeight w:val="1242"/>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4B4C0F" w:rsidRDefault="004B4C0F" w:rsidP="00EC551A">
            <w:pPr>
              <w:pStyle w:val="BodyText"/>
              <w:rPr>
                <w:sz w:val="20"/>
                <w:szCs w:val="20"/>
              </w:rPr>
            </w:pPr>
            <w:r w:rsidRPr="004B4C0F">
              <w:rPr>
                <w:sz w:val="20"/>
                <w:szCs w:val="20"/>
              </w:rPr>
              <w:t xml:space="preserve">Each student must share his/her family drawing with as many other students as possible, in the time allotted, and the classmate they are showing their picture to must – </w:t>
            </w:r>
            <w:r w:rsidRPr="004B4C0F">
              <w:rPr>
                <w:sz w:val="20"/>
                <w:szCs w:val="20"/>
              </w:rPr>
              <w:t xml:space="preserve">For each member of the </w:t>
            </w:r>
            <w:r w:rsidRPr="004B4C0F">
              <w:rPr>
                <w:sz w:val="20"/>
                <w:szCs w:val="20"/>
              </w:rPr>
              <w:t>student’s</w:t>
            </w:r>
            <w:r w:rsidRPr="004B4C0F">
              <w:rPr>
                <w:sz w:val="20"/>
                <w:szCs w:val="20"/>
              </w:rPr>
              <w:t xml:space="preserve"> family, talk about each of his or her clothing. Include colors, possible fabrics, and </w:t>
            </w:r>
            <w:r w:rsidRPr="004B4C0F">
              <w:rPr>
                <w:sz w:val="20"/>
                <w:szCs w:val="20"/>
              </w:rPr>
              <w:t>opinions of their choice.  Note: the student being shown the picture must describe the clothing, not the student that drew the picture.  Students should clarify their drawings afterwards</w:t>
            </w:r>
            <w:r w:rsidRPr="004B4C0F">
              <w:rPr>
                <w:sz w:val="20"/>
                <w:szCs w:val="20"/>
              </w:rPr>
              <w:t>.</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D16570">
              <w:rPr>
                <w:sz w:val="20"/>
              </w:rPr>
              <w:t>Students will create a drawing of what a teenager from the target language country typically wears and will submit to the teacher for review.</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0E6802"/>
    <w:rsid w:val="00137721"/>
    <w:rsid w:val="00147BB8"/>
    <w:rsid w:val="00157A43"/>
    <w:rsid w:val="00184D6B"/>
    <w:rsid w:val="001F5702"/>
    <w:rsid w:val="00232225"/>
    <w:rsid w:val="00262E8F"/>
    <w:rsid w:val="002777C6"/>
    <w:rsid w:val="00295FCE"/>
    <w:rsid w:val="002E2E15"/>
    <w:rsid w:val="00316A0A"/>
    <w:rsid w:val="003476D5"/>
    <w:rsid w:val="003A0BD9"/>
    <w:rsid w:val="00420C80"/>
    <w:rsid w:val="00440893"/>
    <w:rsid w:val="004471C3"/>
    <w:rsid w:val="0045783B"/>
    <w:rsid w:val="00487693"/>
    <w:rsid w:val="00490C4B"/>
    <w:rsid w:val="004B4C0F"/>
    <w:rsid w:val="00513B01"/>
    <w:rsid w:val="00515319"/>
    <w:rsid w:val="00524ADD"/>
    <w:rsid w:val="0055749B"/>
    <w:rsid w:val="005936E8"/>
    <w:rsid w:val="005B31CA"/>
    <w:rsid w:val="005C24FF"/>
    <w:rsid w:val="00616223"/>
    <w:rsid w:val="00625828"/>
    <w:rsid w:val="006365B6"/>
    <w:rsid w:val="006C22D0"/>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F5161"/>
    <w:rsid w:val="00A55F0C"/>
    <w:rsid w:val="00A72CF7"/>
    <w:rsid w:val="00A93DE6"/>
    <w:rsid w:val="00AE7AEA"/>
    <w:rsid w:val="00AF1779"/>
    <w:rsid w:val="00B205F5"/>
    <w:rsid w:val="00B675A9"/>
    <w:rsid w:val="00BC2D3E"/>
    <w:rsid w:val="00BC6268"/>
    <w:rsid w:val="00C033B8"/>
    <w:rsid w:val="00C378A1"/>
    <w:rsid w:val="00CA7454"/>
    <w:rsid w:val="00D005D2"/>
    <w:rsid w:val="00D16570"/>
    <w:rsid w:val="00D5367B"/>
    <w:rsid w:val="00D86BFF"/>
    <w:rsid w:val="00DA30C3"/>
    <w:rsid w:val="00DC1F2D"/>
    <w:rsid w:val="00DF13A4"/>
    <w:rsid w:val="00E227C0"/>
    <w:rsid w:val="00E3115F"/>
    <w:rsid w:val="00E36546"/>
    <w:rsid w:val="00E36FA9"/>
    <w:rsid w:val="00E65D5B"/>
    <w:rsid w:val="00E91689"/>
    <w:rsid w:val="00EA12BC"/>
    <w:rsid w:val="00EB1291"/>
    <w:rsid w:val="00EC0756"/>
    <w:rsid w:val="00EC551A"/>
    <w:rsid w:val="00F02CEA"/>
    <w:rsid w:val="00F20F32"/>
    <w:rsid w:val="00F7764E"/>
    <w:rsid w:val="00FA08D9"/>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94CE"/>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5</cp:revision>
  <cp:lastPrinted>2017-06-30T16:06:00Z</cp:lastPrinted>
  <dcterms:created xsi:type="dcterms:W3CDTF">2017-08-10T17:17:00Z</dcterms:created>
  <dcterms:modified xsi:type="dcterms:W3CDTF">2017-08-14T19:42:00Z</dcterms:modified>
</cp:coreProperties>
</file>